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6A9C3A">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方正小标宋简体" w:hAnsi="方正小标宋简体" w:eastAsia="方正小标宋简体" w:cs="方正小标宋简体"/>
          <w:color w:val="000000"/>
          <w:sz w:val="32"/>
          <w:szCs w:val="32"/>
        </w:rPr>
      </w:pPr>
      <w:bookmarkStart w:id="0" w:name="_GoBack"/>
      <w:bookmarkEnd w:id="0"/>
      <w:r>
        <w:rPr>
          <w:rFonts w:hint="eastAsia" w:ascii="方正小标宋简体" w:hAnsi="方正小标宋简体" w:eastAsia="方正小标宋简体" w:cs="方正小标宋简体"/>
          <w:color w:val="000000"/>
          <w:sz w:val="32"/>
          <w:szCs w:val="32"/>
        </w:rPr>
        <w:t>2026年北京市</w:t>
      </w:r>
      <w:r>
        <w:rPr>
          <w:rFonts w:hint="eastAsia" w:ascii="方正小标宋简体" w:hAnsi="方正小标宋简体" w:eastAsia="方正小标宋简体" w:cs="方正小标宋简体"/>
          <w:color w:val="000000"/>
          <w:sz w:val="32"/>
          <w:szCs w:val="32"/>
          <w:lang w:val="en-US" w:eastAsia="zh-CN"/>
        </w:rPr>
        <w:t>水泥</w:t>
      </w:r>
      <w:r>
        <w:rPr>
          <w:rFonts w:hint="eastAsia" w:ascii="方正小标宋简体" w:hAnsi="方正小标宋简体" w:eastAsia="方正小标宋简体" w:cs="方正小标宋简体"/>
          <w:color w:val="000000"/>
          <w:sz w:val="32"/>
          <w:szCs w:val="32"/>
        </w:rPr>
        <w:t>产品质量监督抽查实施细则</w:t>
      </w:r>
    </w:p>
    <w:p w14:paraId="7C77715A">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046456F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14:paraId="67938414">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161F99B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1513CAE2">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抽样基数满足抽样数量即可，通用硅酸盐水泥：每批次抽取的样品数量不得少于20kg，将样品均分为两份，每份至少10kg，其中一份为检验样品，另一份为备用样品。砌筑水泥：每批次抽取的样品数量不得少于16kg，将样品均分为两份，每份至少8kg，其中一份为检验样品，另一份为备用样品。</w:t>
      </w:r>
    </w:p>
    <w:p w14:paraId="0A88AD6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rPr>
      </w:pPr>
    </w:p>
    <w:p w14:paraId="2BEE1EB5">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2 检验依据</w:t>
      </w:r>
    </w:p>
    <w:p w14:paraId="6381796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2.1 通用硅酸盐水泥</w:t>
      </w:r>
    </w:p>
    <w:tbl>
      <w:tblPr>
        <w:tblStyle w:val="5"/>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2381"/>
        <w:gridCol w:w="2835"/>
        <w:gridCol w:w="2835"/>
      </w:tblGrid>
      <w:tr w14:paraId="7DEA5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2AB1345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序号</w:t>
            </w:r>
          </w:p>
        </w:tc>
        <w:tc>
          <w:tcPr>
            <w:tcW w:w="2381" w:type="dxa"/>
            <w:vAlign w:val="center"/>
          </w:tcPr>
          <w:p w14:paraId="2DE1C37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检验项目</w:t>
            </w:r>
          </w:p>
        </w:tc>
        <w:tc>
          <w:tcPr>
            <w:tcW w:w="2835" w:type="dxa"/>
            <w:vAlign w:val="center"/>
          </w:tcPr>
          <w:p w14:paraId="4204A2C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检验依据</w:t>
            </w:r>
          </w:p>
        </w:tc>
        <w:tc>
          <w:tcPr>
            <w:tcW w:w="2835" w:type="dxa"/>
            <w:vAlign w:val="center"/>
          </w:tcPr>
          <w:p w14:paraId="4E3FA7F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检验</w:t>
            </w:r>
            <w:r>
              <w:rPr>
                <w:rFonts w:hint="eastAsia" w:ascii="Times New Roman" w:hAnsi="Times New Roman" w:eastAsia="宋体" w:cs="宋体"/>
                <w:sz w:val="22"/>
                <w:szCs w:val="28"/>
                <w:vertAlign w:val="baseline"/>
                <w:lang w:val="en-US" w:eastAsia="zh-CN"/>
              </w:rPr>
              <w:t>方法</w:t>
            </w:r>
          </w:p>
        </w:tc>
      </w:tr>
      <w:tr w14:paraId="4BE45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0D9F8E94">
            <w:pPr>
              <w:snapToGrid w:val="0"/>
              <w:spacing w:line="300" w:lineRule="exact"/>
              <w:jc w:val="center"/>
              <w:rPr>
                <w:rFonts w:hint="eastAsia" w:ascii="Times New Roman" w:hAnsi="Times New Roman" w:eastAsia="宋体" w:cs="宋体"/>
                <w:sz w:val="22"/>
                <w:szCs w:val="28"/>
                <w:vertAlign w:val="baseline"/>
                <w:lang w:val="en-US" w:eastAsia="zh-CN"/>
              </w:rPr>
            </w:pPr>
            <w:r>
              <w:rPr>
                <w:rFonts w:hint="eastAsia"/>
                <w:szCs w:val="21"/>
              </w:rPr>
              <w:t>1</w:t>
            </w:r>
          </w:p>
        </w:tc>
        <w:tc>
          <w:tcPr>
            <w:tcW w:w="2381" w:type="dxa"/>
            <w:vAlign w:val="center"/>
          </w:tcPr>
          <w:p w14:paraId="2B5FA6C1">
            <w:pPr>
              <w:snapToGrid w:val="0"/>
              <w:spacing w:line="300" w:lineRule="exact"/>
              <w:jc w:val="center"/>
              <w:rPr>
                <w:rFonts w:hint="eastAsia" w:ascii="Times New Roman" w:hAnsi="Times New Roman" w:eastAsia="宋体" w:cs="宋体"/>
                <w:sz w:val="22"/>
                <w:szCs w:val="28"/>
                <w:vertAlign w:val="baseline"/>
              </w:rPr>
            </w:pPr>
            <w:r>
              <w:rPr>
                <w:color w:val="000000"/>
                <w:szCs w:val="21"/>
              </w:rPr>
              <w:t>不溶物</w:t>
            </w:r>
          </w:p>
        </w:tc>
        <w:tc>
          <w:tcPr>
            <w:tcW w:w="2835" w:type="dxa"/>
            <w:vMerge w:val="restart"/>
            <w:vAlign w:val="center"/>
          </w:tcPr>
          <w:p w14:paraId="03AA075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ascii="Times New Roman" w:hAnsi="Times New Roman" w:cs="Times New Roman"/>
              </w:rPr>
              <w:t>GB 175—2023</w:t>
            </w:r>
          </w:p>
        </w:tc>
        <w:tc>
          <w:tcPr>
            <w:tcW w:w="2835" w:type="dxa"/>
            <w:vMerge w:val="restart"/>
            <w:vAlign w:val="center"/>
          </w:tcPr>
          <w:p w14:paraId="0DE31F4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ascii="Times New Roman" w:hAnsi="Times New Roman" w:cs="Times New Roman"/>
              </w:rPr>
              <w:fldChar w:fldCharType="begin"/>
            </w:r>
            <w:r>
              <w:rPr>
                <w:rFonts w:ascii="Times New Roman" w:hAnsi="Times New Roman" w:cs="Times New Roman"/>
              </w:rPr>
              <w:instrText xml:space="preserve">HYPERLINK "javascript:__doPostBack('ctl00$ctl00$ContentPlaceHolder1$ContentPlaceHolder1$rptStandard$ctl00$lbtnDetail','')" \o "点击查看标准详细信息"</w:instrText>
            </w:r>
            <w:r>
              <w:rPr>
                <w:rFonts w:ascii="Times New Roman" w:hAnsi="Times New Roman" w:cs="Times New Roman"/>
              </w:rPr>
              <w:fldChar w:fldCharType="separate"/>
            </w:r>
            <w:r>
              <w:rPr>
                <w:rFonts w:ascii="Times New Roman" w:hAnsi="Times New Roman" w:cs="Times New Roman"/>
              </w:rPr>
              <w:t>GB/T 176</w:t>
            </w:r>
            <w:r>
              <w:rPr>
                <w:rFonts w:ascii="Times New Roman" w:hAnsi="Times New Roman" w:cs="Times New Roman"/>
              </w:rPr>
              <w:fldChar w:fldCharType="end"/>
            </w:r>
            <w:r>
              <w:rPr>
                <w:rFonts w:ascii="Times New Roman" w:hAnsi="Times New Roman" w:cs="Times New Roman"/>
              </w:rPr>
              <w:t>—20</w:t>
            </w:r>
            <w:r>
              <w:rPr>
                <w:rFonts w:hint="eastAsia" w:ascii="Times New Roman" w:hAnsi="Times New Roman" w:cs="Times New Roman"/>
              </w:rPr>
              <w:t>25</w:t>
            </w:r>
          </w:p>
        </w:tc>
      </w:tr>
      <w:tr w14:paraId="25E30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6AA38107">
            <w:pPr>
              <w:snapToGrid w:val="0"/>
              <w:spacing w:line="300" w:lineRule="exact"/>
              <w:jc w:val="center"/>
              <w:rPr>
                <w:rFonts w:hint="eastAsia" w:ascii="Times New Roman" w:hAnsi="Times New Roman" w:eastAsia="宋体" w:cs="宋体"/>
                <w:sz w:val="22"/>
                <w:szCs w:val="28"/>
                <w:vertAlign w:val="baseline"/>
                <w:lang w:val="en-US" w:eastAsia="zh-CN"/>
              </w:rPr>
            </w:pPr>
            <w:r>
              <w:rPr>
                <w:szCs w:val="21"/>
              </w:rPr>
              <w:t>2</w:t>
            </w:r>
          </w:p>
        </w:tc>
        <w:tc>
          <w:tcPr>
            <w:tcW w:w="2381" w:type="dxa"/>
            <w:vAlign w:val="center"/>
          </w:tcPr>
          <w:p w14:paraId="025DE1BF">
            <w:pPr>
              <w:snapToGrid w:val="0"/>
              <w:spacing w:line="300" w:lineRule="exact"/>
              <w:jc w:val="center"/>
              <w:rPr>
                <w:rFonts w:hint="eastAsia" w:ascii="Times New Roman" w:hAnsi="Times New Roman" w:eastAsia="宋体" w:cs="宋体"/>
                <w:sz w:val="22"/>
                <w:szCs w:val="28"/>
                <w:vertAlign w:val="baseline"/>
                <w:lang w:eastAsia="zh-CN"/>
              </w:rPr>
            </w:pPr>
            <w:r>
              <w:rPr>
                <w:color w:val="000000"/>
                <w:szCs w:val="21"/>
              </w:rPr>
              <w:t>烧失量</w:t>
            </w:r>
          </w:p>
        </w:tc>
        <w:tc>
          <w:tcPr>
            <w:tcW w:w="2835" w:type="dxa"/>
            <w:vMerge w:val="continue"/>
            <w:shd w:val="clear" w:color="auto" w:fill="auto"/>
            <w:vAlign w:val="center"/>
          </w:tcPr>
          <w:p w14:paraId="6A06B0C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p>
        </w:tc>
        <w:tc>
          <w:tcPr>
            <w:tcW w:w="2835" w:type="dxa"/>
            <w:vMerge w:val="continue"/>
            <w:shd w:val="clear" w:color="auto" w:fill="auto"/>
            <w:vAlign w:val="center"/>
          </w:tcPr>
          <w:p w14:paraId="37A821F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p>
        </w:tc>
      </w:tr>
      <w:tr w14:paraId="4F04D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3CF7AA50">
            <w:pPr>
              <w:snapToGrid w:val="0"/>
              <w:spacing w:line="300" w:lineRule="exact"/>
              <w:jc w:val="center"/>
              <w:rPr>
                <w:rFonts w:hint="default" w:ascii="Times New Roman" w:hAnsi="Times New Roman" w:eastAsia="宋体" w:cs="宋体"/>
                <w:sz w:val="22"/>
                <w:szCs w:val="28"/>
                <w:vertAlign w:val="baseline"/>
                <w:lang w:val="en-US" w:eastAsia="zh-CN"/>
              </w:rPr>
            </w:pPr>
            <w:r>
              <w:rPr>
                <w:szCs w:val="21"/>
              </w:rPr>
              <w:t>3</w:t>
            </w:r>
          </w:p>
        </w:tc>
        <w:tc>
          <w:tcPr>
            <w:tcW w:w="2381" w:type="dxa"/>
            <w:vAlign w:val="center"/>
          </w:tcPr>
          <w:p w14:paraId="7D7B9C31">
            <w:pPr>
              <w:snapToGrid w:val="0"/>
              <w:spacing w:line="300" w:lineRule="exact"/>
              <w:jc w:val="center"/>
              <w:rPr>
                <w:rFonts w:hint="default" w:ascii="Times New Roman" w:hAnsi="Times New Roman" w:eastAsia="宋体" w:cs="宋体"/>
                <w:sz w:val="22"/>
                <w:szCs w:val="28"/>
                <w:vertAlign w:val="baseline"/>
                <w:lang w:val="en-US" w:eastAsia="zh-CN"/>
              </w:rPr>
            </w:pPr>
            <w:r>
              <w:rPr>
                <w:color w:val="000000"/>
                <w:szCs w:val="21"/>
              </w:rPr>
              <w:t>三氧化硫</w:t>
            </w:r>
          </w:p>
        </w:tc>
        <w:tc>
          <w:tcPr>
            <w:tcW w:w="2835" w:type="dxa"/>
            <w:vMerge w:val="continue"/>
            <w:vAlign w:val="center"/>
          </w:tcPr>
          <w:p w14:paraId="5F05C0F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p>
        </w:tc>
        <w:tc>
          <w:tcPr>
            <w:tcW w:w="2835" w:type="dxa"/>
            <w:vMerge w:val="continue"/>
            <w:vAlign w:val="center"/>
          </w:tcPr>
          <w:p w14:paraId="74F88A2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p>
        </w:tc>
      </w:tr>
      <w:tr w14:paraId="5EAA1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61671A8D">
            <w:pPr>
              <w:snapToGrid w:val="0"/>
              <w:spacing w:line="300" w:lineRule="exact"/>
              <w:jc w:val="center"/>
              <w:rPr>
                <w:rFonts w:hint="default" w:ascii="Times New Roman" w:hAnsi="Times New Roman" w:eastAsia="宋体" w:cs="宋体"/>
                <w:sz w:val="22"/>
                <w:szCs w:val="28"/>
                <w:vertAlign w:val="baseline"/>
                <w:lang w:val="en-US" w:eastAsia="zh-CN"/>
              </w:rPr>
            </w:pPr>
            <w:r>
              <w:rPr>
                <w:szCs w:val="21"/>
              </w:rPr>
              <w:t>4</w:t>
            </w:r>
          </w:p>
        </w:tc>
        <w:tc>
          <w:tcPr>
            <w:tcW w:w="2381" w:type="dxa"/>
            <w:vAlign w:val="center"/>
          </w:tcPr>
          <w:p w14:paraId="2D283BF1">
            <w:pPr>
              <w:snapToGrid w:val="0"/>
              <w:spacing w:line="300" w:lineRule="exact"/>
              <w:jc w:val="center"/>
              <w:rPr>
                <w:rFonts w:hint="default" w:ascii="Times New Roman" w:hAnsi="Times New Roman" w:eastAsia="宋体" w:cs="宋体"/>
                <w:sz w:val="22"/>
                <w:szCs w:val="28"/>
                <w:vertAlign w:val="baseline"/>
                <w:lang w:val="en-US" w:eastAsia="zh-CN"/>
              </w:rPr>
            </w:pPr>
            <w:r>
              <w:rPr>
                <w:color w:val="000000"/>
                <w:szCs w:val="21"/>
              </w:rPr>
              <w:t>氧化镁</w:t>
            </w:r>
          </w:p>
        </w:tc>
        <w:tc>
          <w:tcPr>
            <w:tcW w:w="2835" w:type="dxa"/>
            <w:vMerge w:val="continue"/>
            <w:vAlign w:val="center"/>
          </w:tcPr>
          <w:p w14:paraId="3B32934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p>
        </w:tc>
        <w:tc>
          <w:tcPr>
            <w:tcW w:w="2835" w:type="dxa"/>
            <w:vMerge w:val="continue"/>
            <w:vAlign w:val="center"/>
          </w:tcPr>
          <w:p w14:paraId="7EA4080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p>
        </w:tc>
      </w:tr>
      <w:tr w14:paraId="3DB2E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20E68569">
            <w:pPr>
              <w:snapToGrid w:val="0"/>
              <w:spacing w:line="300" w:lineRule="exact"/>
              <w:jc w:val="center"/>
              <w:rPr>
                <w:rFonts w:hint="eastAsia" w:ascii="Times New Roman" w:hAnsi="Times New Roman" w:eastAsia="宋体" w:cs="宋体"/>
                <w:sz w:val="22"/>
                <w:szCs w:val="28"/>
                <w:vertAlign w:val="baseline"/>
                <w:lang w:val="en-US" w:eastAsia="zh-CN"/>
              </w:rPr>
            </w:pPr>
            <w:r>
              <w:rPr>
                <w:szCs w:val="21"/>
              </w:rPr>
              <w:t>5</w:t>
            </w:r>
          </w:p>
        </w:tc>
        <w:tc>
          <w:tcPr>
            <w:tcW w:w="2381" w:type="dxa"/>
            <w:vAlign w:val="center"/>
          </w:tcPr>
          <w:p w14:paraId="4D3AFAAA">
            <w:pPr>
              <w:snapToGrid w:val="0"/>
              <w:spacing w:line="300" w:lineRule="exact"/>
              <w:jc w:val="center"/>
              <w:rPr>
                <w:rFonts w:hint="eastAsia" w:ascii="Times New Roman" w:hAnsi="Times New Roman" w:eastAsia="宋体" w:cs="宋体"/>
                <w:sz w:val="22"/>
                <w:szCs w:val="28"/>
                <w:vertAlign w:val="baseline"/>
                <w:lang w:val="en-US" w:eastAsia="zh-CN"/>
              </w:rPr>
            </w:pPr>
            <w:r>
              <w:rPr>
                <w:color w:val="000000"/>
                <w:szCs w:val="21"/>
              </w:rPr>
              <w:t>氯离子</w:t>
            </w:r>
          </w:p>
        </w:tc>
        <w:tc>
          <w:tcPr>
            <w:tcW w:w="2835" w:type="dxa"/>
            <w:vMerge w:val="continue"/>
            <w:vAlign w:val="center"/>
          </w:tcPr>
          <w:p w14:paraId="287510E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p>
        </w:tc>
        <w:tc>
          <w:tcPr>
            <w:tcW w:w="2835" w:type="dxa"/>
            <w:vMerge w:val="continue"/>
            <w:vAlign w:val="center"/>
          </w:tcPr>
          <w:p w14:paraId="74280D6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p>
        </w:tc>
      </w:tr>
      <w:tr w14:paraId="61DB7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76710133">
            <w:pPr>
              <w:snapToGrid w:val="0"/>
              <w:spacing w:line="300" w:lineRule="exact"/>
              <w:jc w:val="center"/>
              <w:rPr>
                <w:rFonts w:hint="eastAsia" w:ascii="Times New Roman" w:hAnsi="Times New Roman" w:eastAsia="宋体" w:cs="宋体"/>
                <w:sz w:val="22"/>
                <w:szCs w:val="28"/>
                <w:vertAlign w:val="baseline"/>
                <w:lang w:val="en-US" w:eastAsia="zh-CN"/>
              </w:rPr>
            </w:pPr>
            <w:r>
              <w:rPr>
                <w:szCs w:val="21"/>
              </w:rPr>
              <w:t>6</w:t>
            </w:r>
          </w:p>
        </w:tc>
        <w:tc>
          <w:tcPr>
            <w:tcW w:w="2381" w:type="dxa"/>
            <w:vAlign w:val="center"/>
          </w:tcPr>
          <w:p w14:paraId="05F6F747">
            <w:pPr>
              <w:snapToGrid w:val="0"/>
              <w:spacing w:line="300" w:lineRule="exact"/>
              <w:jc w:val="center"/>
              <w:rPr>
                <w:rFonts w:hint="eastAsia" w:ascii="Times New Roman" w:hAnsi="Times New Roman" w:eastAsia="宋体" w:cs="宋体"/>
                <w:sz w:val="22"/>
                <w:szCs w:val="28"/>
                <w:vertAlign w:val="baseline"/>
                <w:lang w:val="en-US" w:eastAsia="zh-CN"/>
              </w:rPr>
            </w:pPr>
            <w:r>
              <w:rPr>
                <w:color w:val="000000"/>
                <w:szCs w:val="21"/>
              </w:rPr>
              <w:t>水泥中水溶性铬(Ⅵ)</w:t>
            </w:r>
          </w:p>
        </w:tc>
        <w:tc>
          <w:tcPr>
            <w:tcW w:w="2835" w:type="dxa"/>
            <w:vAlign w:val="center"/>
          </w:tcPr>
          <w:p w14:paraId="1076477A">
            <w:pPr>
              <w:snapToGrid w:val="0"/>
              <w:spacing w:line="440" w:lineRule="exact"/>
              <w:jc w:val="center"/>
              <w:rPr>
                <w:rFonts w:hint="eastAsia" w:ascii="Times New Roman" w:hAnsi="Times New Roman" w:eastAsia="宋体" w:cs="宋体"/>
                <w:sz w:val="22"/>
                <w:szCs w:val="28"/>
                <w:vertAlign w:val="baseline"/>
              </w:rPr>
            </w:pPr>
            <w:r>
              <w:rPr>
                <w:rFonts w:ascii="Times New Roman" w:hAnsi="Times New Roman" w:cs="Times New Roman"/>
              </w:rPr>
              <w:t>GB 175—2023</w:t>
            </w:r>
          </w:p>
        </w:tc>
        <w:tc>
          <w:tcPr>
            <w:tcW w:w="2835" w:type="dxa"/>
            <w:vAlign w:val="center"/>
          </w:tcPr>
          <w:p w14:paraId="766EA1F3">
            <w:pPr>
              <w:snapToGrid w:val="0"/>
              <w:spacing w:line="440" w:lineRule="exact"/>
              <w:jc w:val="center"/>
              <w:rPr>
                <w:rFonts w:hint="eastAsia" w:ascii="Times New Roman" w:hAnsi="Times New Roman" w:eastAsia="宋体" w:cs="宋体"/>
                <w:sz w:val="22"/>
                <w:szCs w:val="28"/>
                <w:vertAlign w:val="baseline"/>
              </w:rPr>
            </w:pPr>
            <w:r>
              <w:rPr>
                <w:rFonts w:ascii="Times New Roman" w:hAnsi="Times New Roman" w:cs="Times New Roman"/>
                <w:color w:val="000000"/>
              </w:rPr>
              <w:t>GB 31893</w:t>
            </w:r>
            <w:r>
              <w:rPr>
                <w:rFonts w:ascii="Times New Roman" w:hAnsi="Times New Roman" w:cs="Times New Roman"/>
              </w:rPr>
              <w:t>—</w:t>
            </w:r>
            <w:r>
              <w:rPr>
                <w:rFonts w:ascii="Times New Roman" w:hAnsi="Times New Roman" w:cs="Times New Roman"/>
                <w:color w:val="000000"/>
              </w:rPr>
              <w:t>2015</w:t>
            </w:r>
            <w:r>
              <w:rPr>
                <w:rFonts w:hint="eastAsia"/>
                <w:szCs w:val="21"/>
              </w:rPr>
              <w:t>（含第1号修改单）</w:t>
            </w:r>
          </w:p>
        </w:tc>
      </w:tr>
      <w:tr w14:paraId="4EF36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7A2B3D33">
            <w:pPr>
              <w:snapToGrid w:val="0"/>
              <w:spacing w:line="300" w:lineRule="exact"/>
              <w:jc w:val="center"/>
              <w:rPr>
                <w:rFonts w:hint="eastAsia" w:ascii="Times New Roman" w:hAnsi="Times New Roman" w:eastAsia="宋体" w:cs="宋体"/>
                <w:sz w:val="22"/>
                <w:szCs w:val="28"/>
                <w:vertAlign w:val="baseline"/>
                <w:lang w:val="en-US" w:eastAsia="zh-CN"/>
              </w:rPr>
            </w:pPr>
            <w:r>
              <w:rPr>
                <w:szCs w:val="21"/>
              </w:rPr>
              <w:t>7</w:t>
            </w:r>
          </w:p>
        </w:tc>
        <w:tc>
          <w:tcPr>
            <w:tcW w:w="2381" w:type="dxa"/>
            <w:vAlign w:val="center"/>
          </w:tcPr>
          <w:p w14:paraId="15F09916">
            <w:pPr>
              <w:snapToGrid w:val="0"/>
              <w:spacing w:line="300" w:lineRule="exact"/>
              <w:jc w:val="center"/>
              <w:rPr>
                <w:rFonts w:hint="eastAsia" w:ascii="Times New Roman" w:hAnsi="Times New Roman" w:eastAsia="宋体" w:cs="宋体"/>
                <w:sz w:val="22"/>
                <w:szCs w:val="28"/>
                <w:vertAlign w:val="baseline"/>
                <w:lang w:val="en-US" w:eastAsia="zh-CN"/>
              </w:rPr>
            </w:pPr>
            <w:r>
              <w:rPr>
                <w:color w:val="000000"/>
                <w:szCs w:val="21"/>
              </w:rPr>
              <w:t>凝结时间</w:t>
            </w:r>
          </w:p>
        </w:tc>
        <w:tc>
          <w:tcPr>
            <w:tcW w:w="2835" w:type="dxa"/>
            <w:vAlign w:val="center"/>
          </w:tcPr>
          <w:p w14:paraId="5DEB1450">
            <w:pPr>
              <w:snapToGrid w:val="0"/>
              <w:spacing w:line="440" w:lineRule="exact"/>
              <w:jc w:val="center"/>
              <w:rPr>
                <w:rFonts w:hint="eastAsia" w:ascii="Times New Roman" w:hAnsi="Times New Roman" w:eastAsia="宋体" w:cs="宋体"/>
                <w:sz w:val="22"/>
                <w:szCs w:val="28"/>
                <w:vertAlign w:val="baseline"/>
              </w:rPr>
            </w:pPr>
            <w:r>
              <w:rPr>
                <w:rFonts w:ascii="Times New Roman" w:hAnsi="Times New Roman" w:cs="Times New Roman"/>
              </w:rPr>
              <w:t>GB 175—2023</w:t>
            </w:r>
          </w:p>
        </w:tc>
        <w:tc>
          <w:tcPr>
            <w:tcW w:w="2835" w:type="dxa"/>
            <w:vAlign w:val="center"/>
          </w:tcPr>
          <w:p w14:paraId="5D2E6A89">
            <w:pPr>
              <w:snapToGrid w:val="0"/>
              <w:spacing w:line="440" w:lineRule="exact"/>
              <w:jc w:val="center"/>
              <w:rPr>
                <w:rFonts w:hint="eastAsia" w:ascii="Times New Roman" w:hAnsi="Times New Roman" w:eastAsia="宋体" w:cs="宋体"/>
                <w:sz w:val="22"/>
                <w:szCs w:val="28"/>
                <w:vertAlign w:val="baseline"/>
              </w:rPr>
            </w:pPr>
            <w:r>
              <w:rPr>
                <w:rFonts w:ascii="Times New Roman" w:hAnsi="Times New Roman" w:cs="Times New Roman"/>
              </w:rPr>
              <w:t>GB/T 1346—</w:t>
            </w:r>
            <w:r>
              <w:rPr>
                <w:rFonts w:hint="eastAsia" w:ascii="Times New Roman" w:hAnsi="Times New Roman" w:cs="Times New Roman"/>
                <w:lang w:val="en-US" w:eastAsia="zh-CN"/>
              </w:rPr>
              <w:t>2024</w:t>
            </w:r>
          </w:p>
        </w:tc>
      </w:tr>
      <w:tr w14:paraId="46FFB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2D3957B5">
            <w:pPr>
              <w:snapToGrid w:val="0"/>
              <w:spacing w:line="300" w:lineRule="exact"/>
              <w:jc w:val="center"/>
              <w:rPr>
                <w:rFonts w:hint="eastAsia" w:ascii="Times New Roman" w:hAnsi="Times New Roman" w:eastAsia="宋体" w:cs="宋体"/>
                <w:sz w:val="22"/>
                <w:szCs w:val="28"/>
                <w:vertAlign w:val="baseline"/>
                <w:lang w:val="en-US" w:eastAsia="zh-CN"/>
              </w:rPr>
            </w:pPr>
            <w:r>
              <w:rPr>
                <w:szCs w:val="21"/>
              </w:rPr>
              <w:t>8</w:t>
            </w:r>
          </w:p>
        </w:tc>
        <w:tc>
          <w:tcPr>
            <w:tcW w:w="2381" w:type="dxa"/>
            <w:vAlign w:val="center"/>
          </w:tcPr>
          <w:p w14:paraId="40924422">
            <w:pPr>
              <w:snapToGrid w:val="0"/>
              <w:spacing w:line="300" w:lineRule="exact"/>
              <w:jc w:val="center"/>
              <w:rPr>
                <w:rFonts w:hint="eastAsia" w:ascii="Times New Roman" w:hAnsi="Times New Roman" w:eastAsia="宋体" w:cs="宋体"/>
                <w:sz w:val="22"/>
                <w:szCs w:val="28"/>
                <w:vertAlign w:val="baseline"/>
                <w:lang w:val="en-US" w:eastAsia="zh-CN"/>
              </w:rPr>
            </w:pPr>
            <w:r>
              <w:rPr>
                <w:color w:val="000000"/>
                <w:szCs w:val="21"/>
              </w:rPr>
              <w:t>安定性</w:t>
            </w:r>
          </w:p>
        </w:tc>
        <w:tc>
          <w:tcPr>
            <w:tcW w:w="2835" w:type="dxa"/>
            <w:vAlign w:val="center"/>
          </w:tcPr>
          <w:p w14:paraId="6575CC19">
            <w:pPr>
              <w:snapToGrid w:val="0"/>
              <w:spacing w:line="440" w:lineRule="exact"/>
              <w:jc w:val="center"/>
              <w:rPr>
                <w:rFonts w:hint="eastAsia" w:ascii="Times New Roman" w:hAnsi="Times New Roman" w:eastAsia="宋体" w:cs="宋体"/>
                <w:sz w:val="22"/>
                <w:szCs w:val="28"/>
                <w:vertAlign w:val="baseline"/>
              </w:rPr>
            </w:pPr>
            <w:r>
              <w:rPr>
                <w:rFonts w:ascii="Times New Roman" w:hAnsi="Times New Roman" w:cs="Times New Roman"/>
              </w:rPr>
              <w:t>GB 175—2023</w:t>
            </w:r>
          </w:p>
        </w:tc>
        <w:tc>
          <w:tcPr>
            <w:tcW w:w="2835" w:type="dxa"/>
            <w:vAlign w:val="center"/>
          </w:tcPr>
          <w:p w14:paraId="232883E8">
            <w:pPr>
              <w:snapToGrid w:val="0"/>
              <w:spacing w:line="440" w:lineRule="exact"/>
              <w:jc w:val="center"/>
              <w:rPr>
                <w:rFonts w:ascii="Times New Roman" w:hAnsi="Times New Roman" w:cs="Times New Roman"/>
              </w:rPr>
            </w:pPr>
            <w:r>
              <w:rPr>
                <w:rFonts w:ascii="Times New Roman" w:hAnsi="Times New Roman" w:cs="Times New Roman"/>
              </w:rPr>
              <w:t>GB/T 1346—</w:t>
            </w:r>
            <w:r>
              <w:rPr>
                <w:rFonts w:hint="eastAsia" w:ascii="Times New Roman" w:hAnsi="Times New Roman" w:cs="Times New Roman"/>
                <w:lang w:val="en-US" w:eastAsia="zh-CN"/>
              </w:rPr>
              <w:t>2024</w:t>
            </w:r>
          </w:p>
          <w:p w14:paraId="1BD358A2">
            <w:pPr>
              <w:snapToGrid w:val="0"/>
              <w:spacing w:line="440" w:lineRule="exact"/>
              <w:jc w:val="center"/>
              <w:rPr>
                <w:rFonts w:hint="eastAsia" w:ascii="Times New Roman" w:hAnsi="Times New Roman" w:eastAsia="宋体" w:cs="宋体"/>
                <w:sz w:val="22"/>
                <w:szCs w:val="28"/>
                <w:vertAlign w:val="baseline"/>
              </w:rPr>
            </w:pPr>
            <w:r>
              <w:rPr>
                <w:rFonts w:ascii="Times New Roman" w:hAnsi="Times New Roman" w:cs="Times New Roman"/>
              </w:rPr>
              <w:t>GB/T 750—</w:t>
            </w:r>
            <w:r>
              <w:rPr>
                <w:rFonts w:hint="eastAsia" w:ascii="Times New Roman" w:hAnsi="Times New Roman" w:cs="Times New Roman"/>
                <w:lang w:val="en-US" w:eastAsia="zh-CN"/>
              </w:rPr>
              <w:t>2024</w:t>
            </w:r>
          </w:p>
        </w:tc>
      </w:tr>
      <w:tr w14:paraId="659A6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50A14BAC">
            <w:pPr>
              <w:snapToGrid w:val="0"/>
              <w:spacing w:line="300" w:lineRule="exact"/>
              <w:jc w:val="center"/>
              <w:rPr>
                <w:rFonts w:hint="eastAsia" w:ascii="Times New Roman" w:hAnsi="Times New Roman" w:eastAsia="宋体" w:cs="宋体"/>
                <w:sz w:val="22"/>
                <w:szCs w:val="28"/>
                <w:vertAlign w:val="baseline"/>
                <w:lang w:val="en-US" w:eastAsia="zh-CN"/>
              </w:rPr>
            </w:pPr>
            <w:r>
              <w:rPr>
                <w:szCs w:val="21"/>
              </w:rPr>
              <w:t>9</w:t>
            </w:r>
          </w:p>
        </w:tc>
        <w:tc>
          <w:tcPr>
            <w:tcW w:w="2381" w:type="dxa"/>
            <w:vAlign w:val="center"/>
          </w:tcPr>
          <w:p w14:paraId="51E1969C">
            <w:pPr>
              <w:snapToGrid w:val="0"/>
              <w:spacing w:line="300" w:lineRule="exact"/>
              <w:jc w:val="center"/>
              <w:rPr>
                <w:rFonts w:hint="eastAsia" w:ascii="Times New Roman" w:hAnsi="Times New Roman" w:eastAsia="宋体" w:cs="宋体"/>
                <w:sz w:val="22"/>
                <w:szCs w:val="28"/>
                <w:vertAlign w:val="baseline"/>
                <w:lang w:val="en-US" w:eastAsia="zh-CN"/>
              </w:rPr>
            </w:pPr>
            <w:r>
              <w:rPr>
                <w:color w:val="000000"/>
                <w:szCs w:val="21"/>
              </w:rPr>
              <w:t>强度</w:t>
            </w:r>
          </w:p>
        </w:tc>
        <w:tc>
          <w:tcPr>
            <w:tcW w:w="2835" w:type="dxa"/>
            <w:vAlign w:val="center"/>
          </w:tcPr>
          <w:p w14:paraId="451F029A">
            <w:pPr>
              <w:snapToGrid w:val="0"/>
              <w:spacing w:line="440" w:lineRule="exact"/>
              <w:jc w:val="center"/>
              <w:rPr>
                <w:rFonts w:hint="eastAsia" w:ascii="Times New Roman" w:hAnsi="Times New Roman" w:eastAsia="宋体" w:cs="宋体"/>
                <w:sz w:val="22"/>
                <w:szCs w:val="28"/>
                <w:vertAlign w:val="baseline"/>
              </w:rPr>
            </w:pPr>
            <w:r>
              <w:rPr>
                <w:rFonts w:ascii="Times New Roman" w:hAnsi="Times New Roman" w:cs="Times New Roman"/>
              </w:rPr>
              <w:t>GB 175—2023</w:t>
            </w:r>
          </w:p>
        </w:tc>
        <w:tc>
          <w:tcPr>
            <w:tcW w:w="2835" w:type="dxa"/>
            <w:vAlign w:val="center"/>
          </w:tcPr>
          <w:p w14:paraId="10D07252">
            <w:pPr>
              <w:snapToGrid w:val="0"/>
              <w:spacing w:line="440" w:lineRule="exact"/>
              <w:jc w:val="center"/>
              <w:rPr>
                <w:rFonts w:ascii="Times New Roman" w:hAnsi="Times New Roman" w:cs="Times New Roman"/>
              </w:rPr>
            </w:pPr>
            <w:r>
              <w:rPr>
                <w:rFonts w:ascii="Times New Roman" w:hAnsi="Times New Roman" w:cs="Times New Roman"/>
              </w:rPr>
              <w:t>GB 175—2023</w:t>
            </w:r>
          </w:p>
          <w:p w14:paraId="491B89FD">
            <w:pPr>
              <w:snapToGrid w:val="0"/>
              <w:spacing w:line="440" w:lineRule="exact"/>
              <w:jc w:val="center"/>
              <w:rPr>
                <w:rFonts w:ascii="Times New Roman" w:hAnsi="Times New Roman" w:cs="Times New Roman"/>
                <w:color w:val="000000"/>
              </w:rPr>
            </w:pPr>
            <w:r>
              <w:rPr>
                <w:rFonts w:ascii="Times New Roman" w:hAnsi="Times New Roman" w:cs="Times New Roman"/>
                <w:color w:val="000000"/>
              </w:rPr>
              <w:t>GB/T 17671</w:t>
            </w:r>
            <w:r>
              <w:rPr>
                <w:rFonts w:ascii="Times New Roman" w:hAnsi="Times New Roman" w:cs="Times New Roman"/>
              </w:rPr>
              <w:t>—</w:t>
            </w:r>
            <w:r>
              <w:rPr>
                <w:rFonts w:ascii="Times New Roman" w:hAnsi="Times New Roman" w:cs="Times New Roman"/>
                <w:color w:val="000000"/>
              </w:rPr>
              <w:t>2021</w:t>
            </w:r>
          </w:p>
          <w:p w14:paraId="5EA06F8B">
            <w:pPr>
              <w:snapToGrid w:val="0"/>
              <w:spacing w:line="440" w:lineRule="exact"/>
              <w:jc w:val="center"/>
              <w:rPr>
                <w:rFonts w:hint="eastAsia" w:ascii="Times New Roman" w:hAnsi="Times New Roman" w:eastAsia="宋体" w:cs="宋体"/>
                <w:sz w:val="22"/>
                <w:szCs w:val="28"/>
                <w:vertAlign w:val="baseline"/>
              </w:rPr>
            </w:pPr>
            <w:r>
              <w:rPr>
                <w:rFonts w:ascii="Times New Roman" w:hAnsi="Times New Roman" w:cs="Times New Roman"/>
                <w:color w:val="000000"/>
              </w:rPr>
              <w:t>GB/T 2419</w:t>
            </w:r>
            <w:r>
              <w:rPr>
                <w:rFonts w:ascii="Times New Roman" w:hAnsi="Times New Roman" w:cs="Times New Roman"/>
              </w:rPr>
              <w:t>—</w:t>
            </w:r>
            <w:r>
              <w:rPr>
                <w:rFonts w:ascii="Times New Roman" w:hAnsi="Times New Roman" w:cs="Times New Roman"/>
                <w:color w:val="000000"/>
              </w:rPr>
              <w:t>2005</w:t>
            </w:r>
          </w:p>
        </w:tc>
      </w:tr>
      <w:tr w14:paraId="2A217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1BF76482">
            <w:pPr>
              <w:snapToGrid w:val="0"/>
              <w:spacing w:line="300" w:lineRule="exact"/>
              <w:jc w:val="center"/>
              <w:rPr>
                <w:rFonts w:hint="eastAsia" w:ascii="Times New Roman" w:hAnsi="Times New Roman" w:eastAsia="宋体" w:cs="宋体"/>
                <w:sz w:val="22"/>
                <w:szCs w:val="28"/>
                <w:vertAlign w:val="baseline"/>
                <w:lang w:val="en-US" w:eastAsia="zh-CN"/>
              </w:rPr>
            </w:pPr>
            <w:r>
              <w:rPr>
                <w:szCs w:val="21"/>
              </w:rPr>
              <w:t>10</w:t>
            </w:r>
          </w:p>
        </w:tc>
        <w:tc>
          <w:tcPr>
            <w:tcW w:w="2381" w:type="dxa"/>
            <w:vAlign w:val="center"/>
          </w:tcPr>
          <w:p w14:paraId="06148B51">
            <w:pPr>
              <w:snapToGrid w:val="0"/>
              <w:spacing w:line="300" w:lineRule="exact"/>
              <w:jc w:val="center"/>
              <w:rPr>
                <w:rFonts w:hint="eastAsia" w:ascii="Times New Roman" w:hAnsi="Times New Roman" w:eastAsia="宋体" w:cs="宋体"/>
                <w:sz w:val="22"/>
                <w:szCs w:val="28"/>
                <w:vertAlign w:val="baseline"/>
                <w:lang w:val="en-US" w:eastAsia="zh-CN"/>
              </w:rPr>
            </w:pPr>
            <w:r>
              <w:rPr>
                <w:color w:val="000000"/>
                <w:szCs w:val="21"/>
              </w:rPr>
              <w:t>细度</w:t>
            </w:r>
          </w:p>
        </w:tc>
        <w:tc>
          <w:tcPr>
            <w:tcW w:w="2835" w:type="dxa"/>
            <w:vAlign w:val="center"/>
          </w:tcPr>
          <w:p w14:paraId="34BF50C3">
            <w:pPr>
              <w:snapToGrid w:val="0"/>
              <w:spacing w:line="440" w:lineRule="exact"/>
              <w:jc w:val="center"/>
              <w:rPr>
                <w:rFonts w:hint="eastAsia" w:ascii="Times New Roman" w:hAnsi="Times New Roman" w:eastAsia="宋体" w:cs="宋体"/>
                <w:sz w:val="22"/>
                <w:szCs w:val="28"/>
                <w:vertAlign w:val="baseline"/>
              </w:rPr>
            </w:pPr>
            <w:r>
              <w:rPr>
                <w:rFonts w:ascii="Times New Roman" w:hAnsi="Times New Roman" w:cs="Times New Roman"/>
              </w:rPr>
              <w:t>GB 175—2023</w:t>
            </w:r>
          </w:p>
        </w:tc>
        <w:tc>
          <w:tcPr>
            <w:tcW w:w="2835" w:type="dxa"/>
            <w:vAlign w:val="center"/>
          </w:tcPr>
          <w:p w14:paraId="0AA510C9">
            <w:pPr>
              <w:snapToGrid w:val="0"/>
              <w:spacing w:line="440" w:lineRule="exact"/>
              <w:jc w:val="center"/>
              <w:rPr>
                <w:rFonts w:ascii="Times New Roman" w:hAnsi="Times New Roman" w:cs="Times New Roman"/>
              </w:rPr>
            </w:pPr>
            <w:r>
              <w:rPr>
                <w:rFonts w:ascii="Times New Roman" w:hAnsi="Times New Roman" w:cs="Times New Roman"/>
              </w:rPr>
              <w:t>GB 175—2023</w:t>
            </w:r>
          </w:p>
          <w:p w14:paraId="0EC2435F">
            <w:pPr>
              <w:snapToGrid w:val="0"/>
              <w:spacing w:line="440" w:lineRule="exact"/>
              <w:jc w:val="center"/>
              <w:rPr>
                <w:rFonts w:ascii="Times New Roman" w:hAnsi="Times New Roman" w:cs="Times New Roman"/>
                <w:color w:val="000000"/>
              </w:rPr>
            </w:pPr>
            <w:r>
              <w:rPr>
                <w:rFonts w:ascii="Times New Roman" w:hAnsi="Times New Roman" w:cs="Times New Roman"/>
              </w:rPr>
              <w:fldChar w:fldCharType="begin"/>
            </w:r>
            <w:r>
              <w:rPr>
                <w:rFonts w:ascii="Times New Roman" w:hAnsi="Times New Roman" w:cs="Times New Roman"/>
              </w:rPr>
              <w:instrText xml:space="preserve">HYPERLINK "javascript:__doPostBack('ctl00$ctl00$ContentPlaceHolder1$ContentPlaceHolder1$rptStandard$ctl00$lbtnDetail','')" \o "点击查看标准详细信息"</w:instrText>
            </w:r>
            <w:r>
              <w:rPr>
                <w:rFonts w:ascii="Times New Roman" w:hAnsi="Times New Roman" w:cs="Times New Roman"/>
              </w:rPr>
              <w:fldChar w:fldCharType="separate"/>
            </w:r>
            <w:r>
              <w:rPr>
                <w:rFonts w:ascii="Times New Roman" w:hAnsi="Times New Roman" w:cs="Times New Roman"/>
              </w:rPr>
              <w:t>GB/T 8074</w:t>
            </w:r>
            <w:r>
              <w:rPr>
                <w:rFonts w:ascii="Times New Roman" w:hAnsi="Times New Roman" w:cs="Times New Roman"/>
              </w:rPr>
              <w:fldChar w:fldCharType="end"/>
            </w:r>
            <w:r>
              <w:rPr>
                <w:rFonts w:ascii="Times New Roman" w:hAnsi="Times New Roman" w:cs="Times New Roman"/>
              </w:rPr>
              <w:t>—2008</w:t>
            </w:r>
          </w:p>
          <w:p w14:paraId="2AC6D882">
            <w:pPr>
              <w:snapToGrid w:val="0"/>
              <w:spacing w:line="440" w:lineRule="exact"/>
              <w:jc w:val="center"/>
              <w:rPr>
                <w:rFonts w:ascii="Times New Roman" w:hAnsi="Times New Roman" w:cs="Times New Roman"/>
                <w:color w:val="000000"/>
              </w:rPr>
            </w:pPr>
            <w:r>
              <w:rPr>
                <w:rFonts w:ascii="Times New Roman" w:hAnsi="Times New Roman" w:cs="Times New Roman"/>
                <w:color w:val="000000"/>
              </w:rPr>
              <w:fldChar w:fldCharType="begin"/>
            </w:r>
            <w:r>
              <w:rPr>
                <w:rFonts w:ascii="Times New Roman" w:hAnsi="Times New Roman" w:cs="Times New Roman"/>
                <w:color w:val="000000"/>
              </w:rPr>
              <w:instrText xml:space="preserve">HYPERLINK "javascript:__doPostBack('ctl00$ctl00$ContentPlaceHolder1$ContentPlaceHolder1$rptStandard$ctl00$lbtnDetail','')" \o "点击查看标准详细信息"</w:instrText>
            </w:r>
            <w:r>
              <w:rPr>
                <w:rFonts w:ascii="Times New Roman" w:hAnsi="Times New Roman" w:cs="Times New Roman"/>
                <w:color w:val="000000"/>
              </w:rPr>
              <w:fldChar w:fldCharType="separate"/>
            </w:r>
            <w:r>
              <w:rPr>
                <w:rFonts w:ascii="Times New Roman" w:hAnsi="Times New Roman" w:cs="Times New Roman"/>
                <w:color w:val="000000"/>
              </w:rPr>
              <w:t>GB/T 1345</w:t>
            </w:r>
            <w:r>
              <w:rPr>
                <w:rFonts w:ascii="Times New Roman" w:hAnsi="Times New Roman" w:cs="Times New Roman"/>
                <w:color w:val="000000"/>
              </w:rPr>
              <w:fldChar w:fldCharType="end"/>
            </w:r>
            <w:r>
              <w:rPr>
                <w:rFonts w:ascii="Times New Roman" w:hAnsi="Times New Roman" w:cs="Times New Roman"/>
                <w:color w:val="000000"/>
              </w:rPr>
              <w:t>—2005</w:t>
            </w:r>
          </w:p>
          <w:p w14:paraId="1C8C45C1">
            <w:pPr>
              <w:snapToGrid w:val="0"/>
              <w:spacing w:line="440" w:lineRule="exact"/>
              <w:jc w:val="center"/>
              <w:rPr>
                <w:rFonts w:hint="default" w:ascii="Times New Roman" w:hAnsi="Times New Roman" w:cs="Times New Roman" w:eastAsiaTheme="minorEastAsia"/>
                <w:color w:val="000000"/>
                <w:lang w:val="en-US" w:eastAsia="zh-CN"/>
              </w:rPr>
            </w:pPr>
            <w:r>
              <w:rPr>
                <w:rFonts w:ascii="Times New Roman" w:hAnsi="Times New Roman" w:cs="Times New Roman"/>
                <w:color w:val="000000"/>
              </w:rPr>
              <w:fldChar w:fldCharType="begin"/>
            </w:r>
            <w:r>
              <w:rPr>
                <w:rFonts w:ascii="Times New Roman" w:hAnsi="Times New Roman" w:cs="Times New Roman"/>
                <w:color w:val="000000"/>
              </w:rPr>
              <w:instrText xml:space="preserve">HYPERLINK "javascript:__doPostBack('ctl00$ctl00$ContentPlaceHolder1$ContentPlaceHolder1$rptStandard$ctl00$lbtnDetail','')" \o "点击查看标准详细信息"</w:instrText>
            </w:r>
            <w:r>
              <w:rPr>
                <w:rFonts w:ascii="Times New Roman" w:hAnsi="Times New Roman" w:cs="Times New Roman"/>
                <w:color w:val="000000"/>
              </w:rPr>
              <w:fldChar w:fldCharType="separate"/>
            </w:r>
            <w:r>
              <w:rPr>
                <w:rFonts w:ascii="Times New Roman" w:hAnsi="Times New Roman" w:cs="Times New Roman"/>
                <w:color w:val="000000"/>
              </w:rPr>
              <w:t>GB/T 1345</w:t>
            </w:r>
            <w:r>
              <w:rPr>
                <w:rFonts w:ascii="Times New Roman" w:hAnsi="Times New Roman" w:cs="Times New Roman"/>
                <w:color w:val="000000"/>
              </w:rPr>
              <w:fldChar w:fldCharType="end"/>
            </w:r>
            <w:r>
              <w:rPr>
                <w:rFonts w:ascii="Times New Roman" w:hAnsi="Times New Roman" w:cs="Times New Roman"/>
                <w:color w:val="000000"/>
              </w:rPr>
              <w:t>—20</w:t>
            </w:r>
            <w:r>
              <w:rPr>
                <w:rFonts w:hint="eastAsia" w:ascii="Times New Roman" w:hAnsi="Times New Roman" w:cs="Times New Roman"/>
                <w:color w:val="000000"/>
                <w:lang w:val="en-US" w:eastAsia="zh-CN"/>
              </w:rPr>
              <w:t>26</w:t>
            </w:r>
          </w:p>
        </w:tc>
      </w:tr>
      <w:tr w14:paraId="1574A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1E3B5763">
            <w:pPr>
              <w:snapToGrid w:val="0"/>
              <w:spacing w:line="300" w:lineRule="exact"/>
              <w:jc w:val="center"/>
              <w:rPr>
                <w:rFonts w:hint="eastAsia" w:ascii="Times New Roman" w:hAnsi="Times New Roman" w:eastAsia="宋体" w:cs="宋体"/>
                <w:sz w:val="22"/>
                <w:szCs w:val="28"/>
                <w:vertAlign w:val="baseline"/>
                <w:lang w:val="en-US" w:eastAsia="zh-CN"/>
              </w:rPr>
            </w:pPr>
            <w:r>
              <w:rPr>
                <w:szCs w:val="21"/>
              </w:rPr>
              <w:t>11</w:t>
            </w:r>
          </w:p>
        </w:tc>
        <w:tc>
          <w:tcPr>
            <w:tcW w:w="2381" w:type="dxa"/>
            <w:vAlign w:val="center"/>
          </w:tcPr>
          <w:p w14:paraId="52BAA410">
            <w:pPr>
              <w:snapToGrid w:val="0"/>
              <w:spacing w:line="300" w:lineRule="exact"/>
              <w:jc w:val="center"/>
              <w:rPr>
                <w:rFonts w:hint="eastAsia" w:ascii="Times New Roman" w:hAnsi="Times New Roman" w:eastAsia="宋体" w:cs="宋体"/>
                <w:sz w:val="22"/>
                <w:szCs w:val="28"/>
                <w:vertAlign w:val="baseline"/>
                <w:lang w:val="en-US" w:eastAsia="zh-CN"/>
              </w:rPr>
            </w:pPr>
            <w:r>
              <w:rPr>
                <w:color w:val="000000"/>
                <w:szCs w:val="21"/>
              </w:rPr>
              <w:t>放射性核素限量</w:t>
            </w:r>
          </w:p>
        </w:tc>
        <w:tc>
          <w:tcPr>
            <w:tcW w:w="2835" w:type="dxa"/>
            <w:vAlign w:val="center"/>
          </w:tcPr>
          <w:p w14:paraId="70EA3B9A">
            <w:pPr>
              <w:snapToGrid w:val="0"/>
              <w:spacing w:line="440" w:lineRule="exact"/>
              <w:jc w:val="center"/>
              <w:rPr>
                <w:rFonts w:hint="eastAsia" w:ascii="Times New Roman" w:hAnsi="Times New Roman" w:eastAsia="宋体" w:cs="宋体"/>
                <w:sz w:val="22"/>
                <w:szCs w:val="28"/>
                <w:vertAlign w:val="baseline"/>
              </w:rPr>
            </w:pPr>
            <w:r>
              <w:rPr>
                <w:rFonts w:ascii="Times New Roman" w:hAnsi="Times New Roman" w:cs="Times New Roman"/>
              </w:rPr>
              <w:t>GB 175—2023</w:t>
            </w:r>
          </w:p>
        </w:tc>
        <w:tc>
          <w:tcPr>
            <w:tcW w:w="2835" w:type="dxa"/>
            <w:vAlign w:val="center"/>
          </w:tcPr>
          <w:p w14:paraId="7FF7797D">
            <w:pPr>
              <w:snapToGrid w:val="0"/>
              <w:spacing w:line="440" w:lineRule="exact"/>
              <w:jc w:val="center"/>
              <w:rPr>
                <w:rFonts w:hint="eastAsia" w:ascii="Times New Roman" w:hAnsi="Times New Roman" w:eastAsia="宋体" w:cs="宋体"/>
                <w:sz w:val="22"/>
                <w:szCs w:val="28"/>
                <w:vertAlign w:val="baseline"/>
              </w:rPr>
            </w:pPr>
            <w:r>
              <w:rPr>
                <w:rFonts w:ascii="Times New Roman" w:hAnsi="Times New Roman" w:cs="Times New Roman"/>
                <w:color w:val="000000"/>
              </w:rPr>
              <w:t>GB 6566</w:t>
            </w:r>
            <w:r>
              <w:rPr>
                <w:rFonts w:ascii="Times New Roman" w:hAnsi="Times New Roman" w:cs="Times New Roman"/>
              </w:rPr>
              <w:t>—</w:t>
            </w:r>
            <w:r>
              <w:rPr>
                <w:rFonts w:ascii="Times New Roman" w:hAnsi="Times New Roman" w:cs="Times New Roman"/>
                <w:color w:val="000000"/>
              </w:rPr>
              <w:t>2010</w:t>
            </w:r>
          </w:p>
        </w:tc>
      </w:tr>
    </w:tbl>
    <w:p w14:paraId="5B1C37C2">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20F7EBF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2.2 砌筑水泥</w:t>
      </w:r>
    </w:p>
    <w:tbl>
      <w:tblPr>
        <w:tblStyle w:val="4"/>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3"/>
        <w:gridCol w:w="2917"/>
        <w:gridCol w:w="2662"/>
        <w:gridCol w:w="2664"/>
      </w:tblGrid>
      <w:tr w14:paraId="2AACC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blHeader/>
          <w:jc w:val="center"/>
        </w:trPr>
        <w:tc>
          <w:tcPr>
            <w:tcW w:w="449" w:type="pct"/>
            <w:noWrap w:val="0"/>
            <w:vAlign w:val="center"/>
          </w:tcPr>
          <w:p w14:paraId="797EFB9C">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序号</w:t>
            </w:r>
          </w:p>
        </w:tc>
        <w:tc>
          <w:tcPr>
            <w:tcW w:w="1610" w:type="pct"/>
            <w:noWrap w:val="0"/>
            <w:vAlign w:val="center"/>
          </w:tcPr>
          <w:p w14:paraId="35A21286">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检验项目</w:t>
            </w:r>
          </w:p>
        </w:tc>
        <w:tc>
          <w:tcPr>
            <w:tcW w:w="1469" w:type="pct"/>
            <w:noWrap w:val="0"/>
            <w:vAlign w:val="center"/>
          </w:tcPr>
          <w:p w14:paraId="056D9736">
            <w:pPr>
              <w:snapToGrid w:val="0"/>
              <w:spacing w:line="300" w:lineRule="exact"/>
              <w:jc w:val="center"/>
              <w:rPr>
                <w:rFonts w:hint="default" w:ascii="Times New Roman" w:hAnsi="Times New Roman" w:cs="Times New Roman"/>
                <w:color w:val="000000"/>
                <w:szCs w:val="21"/>
              </w:rPr>
            </w:pPr>
            <w:r>
              <w:rPr>
                <w:rFonts w:hint="eastAsia" w:ascii="Times New Roman" w:hAnsi="Times New Roman" w:eastAsia="宋体" w:cs="宋体"/>
                <w:sz w:val="22"/>
                <w:szCs w:val="28"/>
                <w:vertAlign w:val="baseline"/>
                <w:lang w:val="en-US" w:eastAsia="zh-CN"/>
              </w:rPr>
              <w:t>检验依据</w:t>
            </w:r>
          </w:p>
        </w:tc>
        <w:tc>
          <w:tcPr>
            <w:tcW w:w="1470" w:type="pct"/>
            <w:noWrap w:val="0"/>
            <w:vAlign w:val="center"/>
          </w:tcPr>
          <w:p w14:paraId="274D5A38">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检验方法</w:t>
            </w:r>
          </w:p>
        </w:tc>
      </w:tr>
      <w:tr w14:paraId="5331E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49" w:type="pct"/>
            <w:noWrap w:val="0"/>
            <w:vAlign w:val="center"/>
          </w:tcPr>
          <w:p w14:paraId="2372C762">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szCs w:val="21"/>
              </w:rPr>
              <w:t>1</w:t>
            </w:r>
          </w:p>
        </w:tc>
        <w:tc>
          <w:tcPr>
            <w:tcW w:w="1610" w:type="pct"/>
            <w:noWrap w:val="0"/>
            <w:vAlign w:val="center"/>
          </w:tcPr>
          <w:p w14:paraId="4E18DA5E">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三氧化硫</w:t>
            </w:r>
          </w:p>
        </w:tc>
        <w:tc>
          <w:tcPr>
            <w:tcW w:w="1469" w:type="pct"/>
            <w:vMerge w:val="restart"/>
            <w:noWrap w:val="0"/>
            <w:vAlign w:val="center"/>
          </w:tcPr>
          <w:p w14:paraId="234500B5">
            <w:pPr>
              <w:snapToGrid w:val="0"/>
              <w:spacing w:line="300" w:lineRule="exact"/>
              <w:jc w:val="center"/>
              <w:rPr>
                <w:rFonts w:hint="default" w:ascii="Times New Roman" w:hAnsi="Times New Roman" w:cs="Times New Roman"/>
                <w:szCs w:val="21"/>
              </w:rPr>
            </w:pPr>
            <w:r>
              <w:rPr>
                <w:rFonts w:hint="default" w:ascii="Times New Roman" w:hAnsi="Times New Roman" w:cs="Times New Roman"/>
              </w:rPr>
              <w:t>GB/T 3183—2025</w:t>
            </w:r>
          </w:p>
        </w:tc>
        <w:tc>
          <w:tcPr>
            <w:tcW w:w="1470" w:type="pct"/>
            <w:vMerge w:val="restart"/>
            <w:noWrap w:val="0"/>
            <w:vAlign w:val="center"/>
          </w:tcPr>
          <w:p w14:paraId="43B3DC96">
            <w:pPr>
              <w:snapToGrid w:val="0"/>
              <w:spacing w:line="300" w:lineRule="exact"/>
              <w:jc w:val="center"/>
              <w:rPr>
                <w:rFonts w:hint="default" w:ascii="Times New Roman" w:hAnsi="Times New Roman" w:cs="Times New Roman"/>
              </w:rPr>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HYPERLINK "javascript:__doPostBack('ctl00$ctl00$ContentPlaceHolder1$ContentPlaceHolder1$rptStandard$ctl00$lbtnDetail','')" \o "点击查看标准详细信息"</w:instrText>
            </w:r>
            <w:r>
              <w:rPr>
                <w:rFonts w:hint="default" w:ascii="Times New Roman" w:hAnsi="Times New Roman" w:cs="Times New Roman"/>
                <w:szCs w:val="21"/>
              </w:rPr>
              <w:fldChar w:fldCharType="separate"/>
            </w:r>
            <w:r>
              <w:rPr>
                <w:rFonts w:hint="default" w:ascii="Times New Roman" w:hAnsi="Times New Roman" w:cs="Times New Roman"/>
              </w:rPr>
              <w:t>GB/T 176</w:t>
            </w:r>
            <w:r>
              <w:rPr>
                <w:rFonts w:hint="default" w:ascii="Times New Roman" w:hAnsi="Times New Roman" w:cs="Times New Roman"/>
                <w:szCs w:val="21"/>
              </w:rPr>
              <w:fldChar w:fldCharType="end"/>
            </w:r>
            <w:r>
              <w:rPr>
                <w:rFonts w:hint="default" w:ascii="Times New Roman" w:hAnsi="Times New Roman" w:cs="Times New Roman"/>
              </w:rPr>
              <w:t>—2025</w:t>
            </w:r>
          </w:p>
        </w:tc>
      </w:tr>
      <w:tr w14:paraId="4E836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49" w:type="pct"/>
            <w:noWrap w:val="0"/>
            <w:vAlign w:val="center"/>
          </w:tcPr>
          <w:p w14:paraId="3C1B37BC">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szCs w:val="21"/>
              </w:rPr>
              <w:t>2</w:t>
            </w:r>
          </w:p>
        </w:tc>
        <w:tc>
          <w:tcPr>
            <w:tcW w:w="1610" w:type="pct"/>
            <w:noWrap w:val="0"/>
            <w:vAlign w:val="center"/>
          </w:tcPr>
          <w:p w14:paraId="31860ECE">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氯离子</w:t>
            </w:r>
          </w:p>
        </w:tc>
        <w:tc>
          <w:tcPr>
            <w:tcW w:w="1469" w:type="pct"/>
            <w:vMerge w:val="continue"/>
            <w:noWrap w:val="0"/>
            <w:vAlign w:val="center"/>
          </w:tcPr>
          <w:p w14:paraId="670EEF6D">
            <w:pPr>
              <w:snapToGrid w:val="0"/>
              <w:spacing w:line="300" w:lineRule="exact"/>
              <w:jc w:val="center"/>
              <w:rPr>
                <w:rFonts w:hint="default" w:ascii="Times New Roman" w:hAnsi="Times New Roman" w:cs="Times New Roman"/>
                <w:color w:val="000000"/>
                <w:szCs w:val="21"/>
              </w:rPr>
            </w:pPr>
          </w:p>
        </w:tc>
        <w:tc>
          <w:tcPr>
            <w:tcW w:w="1470" w:type="pct"/>
            <w:vMerge w:val="continue"/>
            <w:noWrap w:val="0"/>
            <w:vAlign w:val="center"/>
          </w:tcPr>
          <w:p w14:paraId="08DB4360">
            <w:pPr>
              <w:snapToGrid w:val="0"/>
              <w:spacing w:line="300" w:lineRule="exact"/>
              <w:jc w:val="center"/>
              <w:rPr>
                <w:rFonts w:hint="default" w:ascii="Times New Roman" w:hAnsi="Times New Roman" w:cs="Times New Roman"/>
                <w:color w:val="000000"/>
                <w:szCs w:val="21"/>
              </w:rPr>
            </w:pPr>
          </w:p>
        </w:tc>
      </w:tr>
      <w:tr w14:paraId="1FA0E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49" w:type="pct"/>
            <w:noWrap w:val="0"/>
            <w:vAlign w:val="center"/>
          </w:tcPr>
          <w:p w14:paraId="679EBD73">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3</w:t>
            </w:r>
          </w:p>
        </w:tc>
        <w:tc>
          <w:tcPr>
            <w:tcW w:w="1610" w:type="pct"/>
            <w:noWrap w:val="0"/>
            <w:vAlign w:val="center"/>
          </w:tcPr>
          <w:p w14:paraId="4F7A0925">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水溶性铬（Ⅵ）</w:t>
            </w:r>
          </w:p>
        </w:tc>
        <w:tc>
          <w:tcPr>
            <w:tcW w:w="1469" w:type="pct"/>
            <w:noWrap w:val="0"/>
            <w:vAlign w:val="center"/>
          </w:tcPr>
          <w:p w14:paraId="39D759AD">
            <w:pPr>
              <w:snapToGrid w:val="0"/>
              <w:spacing w:line="300" w:lineRule="exact"/>
              <w:jc w:val="center"/>
              <w:rPr>
                <w:rFonts w:hint="default" w:ascii="Times New Roman" w:hAnsi="Times New Roman" w:cs="Times New Roman"/>
              </w:rPr>
            </w:pPr>
            <w:r>
              <w:rPr>
                <w:rFonts w:hint="default" w:ascii="Times New Roman" w:hAnsi="Times New Roman" w:cs="Times New Roman"/>
              </w:rPr>
              <w:t>GB/T 3183—2025</w:t>
            </w:r>
          </w:p>
        </w:tc>
        <w:tc>
          <w:tcPr>
            <w:tcW w:w="1470" w:type="pct"/>
            <w:noWrap w:val="0"/>
            <w:vAlign w:val="center"/>
          </w:tcPr>
          <w:p w14:paraId="572166A8">
            <w:pPr>
              <w:snapToGrid w:val="0"/>
              <w:spacing w:line="300" w:lineRule="exact"/>
              <w:jc w:val="center"/>
              <w:rPr>
                <w:rFonts w:hint="default" w:ascii="Times New Roman" w:hAnsi="Times New Roman" w:cs="Times New Roman"/>
                <w:szCs w:val="21"/>
              </w:rPr>
            </w:pPr>
            <w:r>
              <w:rPr>
                <w:rFonts w:hint="default" w:ascii="Times New Roman" w:hAnsi="Times New Roman" w:cs="Times New Roman"/>
              </w:rPr>
              <w:fldChar w:fldCharType="begin"/>
            </w:r>
            <w:r>
              <w:rPr>
                <w:rFonts w:hint="default" w:ascii="Times New Roman" w:hAnsi="Times New Roman" w:cs="Times New Roman"/>
              </w:rPr>
              <w:instrText xml:space="preserve">HYPERLINK "javascript:__doPostBack('ctl00$ctl00$ContentPlaceHolder1$ContentPlaceHolder1$rptStandard$ctl00$lbtnDetail','')" \o "点击查看标准详细信息"</w:instrText>
            </w:r>
            <w:r>
              <w:rPr>
                <w:rFonts w:hint="default" w:ascii="Times New Roman" w:hAnsi="Times New Roman" w:cs="Times New Roman"/>
              </w:rPr>
              <w:fldChar w:fldCharType="separate"/>
            </w:r>
            <w:r>
              <w:rPr>
                <w:rFonts w:hint="default" w:ascii="Times New Roman" w:hAnsi="Times New Roman" w:cs="Times New Roman"/>
              </w:rPr>
              <w:t>GB 31893</w:t>
            </w:r>
            <w:r>
              <w:rPr>
                <w:rFonts w:hint="default" w:ascii="Times New Roman" w:hAnsi="Times New Roman" w:cs="Times New Roman"/>
              </w:rPr>
              <w:fldChar w:fldCharType="end"/>
            </w:r>
            <w:r>
              <w:rPr>
                <w:rFonts w:hint="default" w:ascii="Times New Roman" w:hAnsi="Times New Roman" w:cs="Times New Roman"/>
              </w:rPr>
              <w:t>—2015</w:t>
            </w:r>
            <w:r>
              <w:rPr>
                <w:rFonts w:hint="default" w:ascii="Times New Roman" w:hAnsi="Times New Roman" w:cs="Times New Roman"/>
                <w:szCs w:val="21"/>
              </w:rPr>
              <w:t>（含第1号修改单）</w:t>
            </w:r>
          </w:p>
        </w:tc>
      </w:tr>
      <w:tr w14:paraId="5BCC1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49" w:type="pct"/>
            <w:noWrap w:val="0"/>
            <w:vAlign w:val="center"/>
          </w:tcPr>
          <w:p w14:paraId="0460221C">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4</w:t>
            </w:r>
          </w:p>
        </w:tc>
        <w:tc>
          <w:tcPr>
            <w:tcW w:w="1610" w:type="pct"/>
            <w:noWrap w:val="0"/>
            <w:vAlign w:val="center"/>
          </w:tcPr>
          <w:p w14:paraId="7EED80B0">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细度</w:t>
            </w:r>
          </w:p>
        </w:tc>
        <w:tc>
          <w:tcPr>
            <w:tcW w:w="1469" w:type="pct"/>
            <w:noWrap w:val="0"/>
            <w:vAlign w:val="center"/>
          </w:tcPr>
          <w:p w14:paraId="5CCBE89C">
            <w:pPr>
              <w:snapToGrid w:val="0"/>
              <w:spacing w:line="300" w:lineRule="exact"/>
              <w:jc w:val="center"/>
              <w:rPr>
                <w:rFonts w:ascii="Times New Roman" w:hAnsi="Times New Roman" w:cs="Times New Roman"/>
                <w:color w:val="000000"/>
              </w:rPr>
            </w:pPr>
            <w:r>
              <w:rPr>
                <w:rFonts w:hint="default" w:ascii="Times New Roman" w:hAnsi="Times New Roman" w:cs="Times New Roman"/>
              </w:rPr>
              <w:t>GB/T 3183—2025</w:t>
            </w:r>
          </w:p>
        </w:tc>
        <w:tc>
          <w:tcPr>
            <w:tcW w:w="1470" w:type="pct"/>
            <w:noWrap w:val="0"/>
            <w:vAlign w:val="center"/>
          </w:tcPr>
          <w:p w14:paraId="3C99EEA4">
            <w:pPr>
              <w:snapToGrid w:val="0"/>
              <w:spacing w:line="300" w:lineRule="exact"/>
              <w:jc w:val="center"/>
              <w:rPr>
                <w:rFonts w:hint="default" w:ascii="Times New Roman" w:hAnsi="Times New Roman" w:cs="Times New Roman"/>
                <w:color w:val="000000"/>
              </w:rPr>
            </w:pPr>
            <w:r>
              <w:rPr>
                <w:rFonts w:hint="default" w:ascii="Times New Roman" w:hAnsi="Times New Roman" w:cs="Times New Roman"/>
                <w:color w:val="000000"/>
              </w:rPr>
              <w:fldChar w:fldCharType="begin"/>
            </w:r>
            <w:r>
              <w:rPr>
                <w:rFonts w:hint="default" w:ascii="Times New Roman" w:hAnsi="Times New Roman" w:cs="Times New Roman"/>
                <w:color w:val="000000"/>
              </w:rPr>
              <w:instrText xml:space="preserve">HYPERLINK "javascript:__doPostBack('ctl00$ctl00$ContentPlaceHolder1$ContentPlaceHolder1$rptStandard$ctl00$lbtnDetail','')" \o "点击查看标准详细信息"</w:instrText>
            </w:r>
            <w:r>
              <w:rPr>
                <w:rFonts w:hint="default" w:ascii="Times New Roman" w:hAnsi="Times New Roman" w:cs="Times New Roman"/>
                <w:color w:val="000000"/>
              </w:rPr>
              <w:fldChar w:fldCharType="separate"/>
            </w:r>
            <w:r>
              <w:rPr>
                <w:rFonts w:hint="default" w:ascii="Times New Roman" w:hAnsi="Times New Roman" w:cs="Times New Roman"/>
                <w:color w:val="000000"/>
              </w:rPr>
              <w:t>GB/T 1345</w:t>
            </w:r>
            <w:r>
              <w:rPr>
                <w:rFonts w:hint="default" w:ascii="Times New Roman" w:hAnsi="Times New Roman" w:cs="Times New Roman"/>
                <w:color w:val="000000"/>
              </w:rPr>
              <w:fldChar w:fldCharType="end"/>
            </w:r>
            <w:r>
              <w:rPr>
                <w:rFonts w:hint="default" w:ascii="Times New Roman" w:hAnsi="Times New Roman" w:cs="Times New Roman"/>
                <w:color w:val="000000"/>
              </w:rPr>
              <w:t>—2005</w:t>
            </w:r>
          </w:p>
          <w:p w14:paraId="2403F21E">
            <w:pPr>
              <w:snapToGrid w:val="0"/>
              <w:spacing w:line="300" w:lineRule="exact"/>
              <w:jc w:val="center"/>
              <w:rPr>
                <w:rFonts w:hint="default" w:ascii="Times New Roman" w:hAnsi="Times New Roman" w:cs="Times New Roman"/>
                <w:color w:val="000000"/>
              </w:rPr>
            </w:pPr>
            <w:r>
              <w:rPr>
                <w:rFonts w:ascii="Times New Roman" w:hAnsi="Times New Roman" w:cs="Times New Roman"/>
                <w:color w:val="000000"/>
              </w:rPr>
              <w:fldChar w:fldCharType="begin"/>
            </w:r>
            <w:r>
              <w:rPr>
                <w:rFonts w:ascii="Times New Roman" w:hAnsi="Times New Roman" w:cs="Times New Roman"/>
                <w:color w:val="000000"/>
              </w:rPr>
              <w:instrText xml:space="preserve">HYPERLINK "javascript:__doPostBack('ctl00$ctl00$ContentPlaceHolder1$ContentPlaceHolder1$rptStandard$ctl00$lbtnDetail','')" \o "点击查看标准详细信息"</w:instrText>
            </w:r>
            <w:r>
              <w:rPr>
                <w:rFonts w:ascii="Times New Roman" w:hAnsi="Times New Roman" w:cs="Times New Roman"/>
                <w:color w:val="000000"/>
              </w:rPr>
              <w:fldChar w:fldCharType="separate"/>
            </w:r>
            <w:r>
              <w:rPr>
                <w:rFonts w:ascii="Times New Roman" w:hAnsi="Times New Roman" w:cs="Times New Roman"/>
                <w:color w:val="000000"/>
              </w:rPr>
              <w:t>GB/T 1345</w:t>
            </w:r>
            <w:r>
              <w:rPr>
                <w:rFonts w:ascii="Times New Roman" w:hAnsi="Times New Roman" w:cs="Times New Roman"/>
                <w:color w:val="000000"/>
              </w:rPr>
              <w:fldChar w:fldCharType="end"/>
            </w:r>
            <w:r>
              <w:rPr>
                <w:rFonts w:ascii="Times New Roman" w:hAnsi="Times New Roman" w:cs="Times New Roman"/>
                <w:color w:val="000000"/>
              </w:rPr>
              <w:t>—20</w:t>
            </w:r>
            <w:r>
              <w:rPr>
                <w:rFonts w:hint="eastAsia" w:ascii="Times New Roman" w:hAnsi="Times New Roman" w:cs="Times New Roman"/>
                <w:color w:val="000000"/>
                <w:lang w:val="en-US" w:eastAsia="zh-CN"/>
              </w:rPr>
              <w:t>26</w:t>
            </w:r>
          </w:p>
        </w:tc>
      </w:tr>
      <w:tr w14:paraId="360C9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49" w:type="pct"/>
            <w:noWrap w:val="0"/>
            <w:vAlign w:val="center"/>
          </w:tcPr>
          <w:p w14:paraId="0C5FAA3A">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szCs w:val="21"/>
              </w:rPr>
              <w:t>5</w:t>
            </w:r>
          </w:p>
        </w:tc>
        <w:tc>
          <w:tcPr>
            <w:tcW w:w="1610" w:type="pct"/>
            <w:noWrap w:val="0"/>
            <w:vAlign w:val="center"/>
          </w:tcPr>
          <w:p w14:paraId="13E025C4">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凝结时间</w:t>
            </w:r>
          </w:p>
        </w:tc>
        <w:tc>
          <w:tcPr>
            <w:tcW w:w="1469" w:type="pct"/>
            <w:noWrap w:val="0"/>
            <w:vAlign w:val="center"/>
          </w:tcPr>
          <w:p w14:paraId="7AB1085C">
            <w:pPr>
              <w:snapToGrid w:val="0"/>
              <w:spacing w:line="300" w:lineRule="exact"/>
              <w:jc w:val="center"/>
              <w:rPr>
                <w:rFonts w:hint="default" w:ascii="Times New Roman" w:hAnsi="Times New Roman" w:cs="Times New Roman"/>
              </w:rPr>
            </w:pPr>
            <w:r>
              <w:rPr>
                <w:rFonts w:hint="default" w:ascii="Times New Roman" w:hAnsi="Times New Roman" w:cs="Times New Roman"/>
              </w:rPr>
              <w:t>GB/T 3183—2025</w:t>
            </w:r>
          </w:p>
        </w:tc>
        <w:tc>
          <w:tcPr>
            <w:tcW w:w="1470" w:type="pct"/>
            <w:noWrap w:val="0"/>
            <w:vAlign w:val="center"/>
          </w:tcPr>
          <w:p w14:paraId="76D5E693">
            <w:pPr>
              <w:snapToGrid w:val="0"/>
              <w:spacing w:line="300" w:lineRule="exact"/>
              <w:jc w:val="center"/>
              <w:rPr>
                <w:rFonts w:hint="default" w:ascii="Times New Roman" w:hAnsi="Times New Roman" w:cs="Times New Roman"/>
                <w:szCs w:val="21"/>
              </w:rPr>
            </w:pPr>
            <w:r>
              <w:rPr>
                <w:rFonts w:hint="default" w:ascii="Times New Roman" w:hAnsi="Times New Roman" w:cs="Times New Roman"/>
              </w:rPr>
              <w:fldChar w:fldCharType="begin"/>
            </w:r>
            <w:r>
              <w:rPr>
                <w:rFonts w:hint="default" w:ascii="Times New Roman" w:hAnsi="Times New Roman" w:cs="Times New Roman"/>
              </w:rPr>
              <w:instrText xml:space="preserve">HYPERLINK "javascript:__doPostBack('ctl00$ctl00$ContentPlaceHolder1$ContentPlaceHolder1$rptStandard$ctl00$lbtnDetail','')" \o "点击查看标准详细信息"</w:instrText>
            </w:r>
            <w:r>
              <w:rPr>
                <w:rFonts w:hint="default" w:ascii="Times New Roman" w:hAnsi="Times New Roman" w:cs="Times New Roman"/>
              </w:rPr>
              <w:fldChar w:fldCharType="separate"/>
            </w:r>
            <w:r>
              <w:rPr>
                <w:rFonts w:hint="default" w:ascii="Times New Roman" w:hAnsi="Times New Roman" w:cs="Times New Roman"/>
              </w:rPr>
              <w:t>GB/T 1346</w:t>
            </w:r>
            <w:r>
              <w:rPr>
                <w:rFonts w:hint="default" w:ascii="Times New Roman" w:hAnsi="Times New Roman" w:cs="Times New Roman"/>
              </w:rPr>
              <w:fldChar w:fldCharType="end"/>
            </w:r>
            <w:r>
              <w:rPr>
                <w:rFonts w:hint="default" w:ascii="Times New Roman" w:hAnsi="Times New Roman" w:cs="Times New Roman"/>
              </w:rPr>
              <w:t>—</w:t>
            </w:r>
            <w:r>
              <w:rPr>
                <w:rFonts w:hint="default" w:ascii="Times New Roman" w:hAnsi="Times New Roman" w:cs="Times New Roman"/>
                <w:szCs w:val="21"/>
              </w:rPr>
              <w:t>2024</w:t>
            </w:r>
          </w:p>
        </w:tc>
      </w:tr>
      <w:tr w14:paraId="69C59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49" w:type="pct"/>
            <w:noWrap w:val="0"/>
            <w:vAlign w:val="center"/>
          </w:tcPr>
          <w:p w14:paraId="27DA939C">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szCs w:val="21"/>
              </w:rPr>
              <w:t>6</w:t>
            </w:r>
          </w:p>
        </w:tc>
        <w:tc>
          <w:tcPr>
            <w:tcW w:w="1610" w:type="pct"/>
            <w:noWrap w:val="0"/>
            <w:vAlign w:val="center"/>
          </w:tcPr>
          <w:p w14:paraId="502656EB">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沸煮安定性</w:t>
            </w:r>
          </w:p>
        </w:tc>
        <w:tc>
          <w:tcPr>
            <w:tcW w:w="1469" w:type="pct"/>
            <w:noWrap w:val="0"/>
            <w:vAlign w:val="center"/>
          </w:tcPr>
          <w:p w14:paraId="67DD8F84">
            <w:pPr>
              <w:snapToGrid w:val="0"/>
              <w:spacing w:line="300" w:lineRule="exact"/>
              <w:jc w:val="center"/>
              <w:rPr>
                <w:rFonts w:hint="default" w:ascii="Times New Roman" w:hAnsi="Times New Roman" w:cs="Times New Roman"/>
              </w:rPr>
            </w:pPr>
            <w:r>
              <w:rPr>
                <w:rFonts w:hint="default" w:ascii="Times New Roman" w:hAnsi="Times New Roman" w:cs="Times New Roman"/>
              </w:rPr>
              <w:t>GB/T 3183—2025</w:t>
            </w:r>
          </w:p>
        </w:tc>
        <w:tc>
          <w:tcPr>
            <w:tcW w:w="1470" w:type="pct"/>
            <w:noWrap w:val="0"/>
            <w:vAlign w:val="center"/>
          </w:tcPr>
          <w:p w14:paraId="512456C1">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rPr>
              <w:fldChar w:fldCharType="begin"/>
            </w:r>
            <w:r>
              <w:rPr>
                <w:rFonts w:hint="default" w:ascii="Times New Roman" w:hAnsi="Times New Roman" w:cs="Times New Roman"/>
              </w:rPr>
              <w:instrText xml:space="preserve">HYPERLINK "javascript:__doPostBack('ctl00$ctl00$ContentPlaceHolder1$ContentPlaceHolder1$rptStandard$ctl00$lbtnDetail','')" \o "点击查看标准详细信息"</w:instrText>
            </w:r>
            <w:r>
              <w:rPr>
                <w:rFonts w:hint="default" w:ascii="Times New Roman" w:hAnsi="Times New Roman" w:cs="Times New Roman"/>
              </w:rPr>
              <w:fldChar w:fldCharType="separate"/>
            </w:r>
            <w:r>
              <w:rPr>
                <w:rFonts w:hint="default" w:ascii="Times New Roman" w:hAnsi="Times New Roman" w:cs="Times New Roman"/>
              </w:rPr>
              <w:t>GB/T 1346</w:t>
            </w:r>
            <w:r>
              <w:rPr>
                <w:rFonts w:hint="default" w:ascii="Times New Roman" w:hAnsi="Times New Roman" w:cs="Times New Roman"/>
              </w:rPr>
              <w:fldChar w:fldCharType="end"/>
            </w:r>
            <w:r>
              <w:rPr>
                <w:rFonts w:hint="default" w:ascii="Times New Roman" w:hAnsi="Times New Roman" w:cs="Times New Roman"/>
              </w:rPr>
              <w:t>—</w:t>
            </w:r>
            <w:r>
              <w:rPr>
                <w:rFonts w:hint="default" w:ascii="Times New Roman" w:hAnsi="Times New Roman" w:cs="Times New Roman"/>
                <w:szCs w:val="21"/>
              </w:rPr>
              <w:t>2024</w:t>
            </w:r>
          </w:p>
        </w:tc>
      </w:tr>
      <w:tr w14:paraId="37627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49" w:type="pct"/>
            <w:noWrap w:val="0"/>
            <w:vAlign w:val="center"/>
          </w:tcPr>
          <w:p w14:paraId="2EED602D">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7</w:t>
            </w:r>
          </w:p>
        </w:tc>
        <w:tc>
          <w:tcPr>
            <w:tcW w:w="1610" w:type="pct"/>
            <w:noWrap w:val="0"/>
            <w:vAlign w:val="center"/>
          </w:tcPr>
          <w:p w14:paraId="4EC91BEA">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保水率</w:t>
            </w:r>
          </w:p>
        </w:tc>
        <w:tc>
          <w:tcPr>
            <w:tcW w:w="1469" w:type="pct"/>
            <w:noWrap w:val="0"/>
            <w:vAlign w:val="center"/>
          </w:tcPr>
          <w:p w14:paraId="596145DE">
            <w:pPr>
              <w:snapToGrid w:val="0"/>
              <w:spacing w:line="300" w:lineRule="exact"/>
              <w:jc w:val="center"/>
              <w:rPr>
                <w:rFonts w:hint="default" w:ascii="Times New Roman" w:hAnsi="Times New Roman" w:cs="Times New Roman"/>
              </w:rPr>
            </w:pPr>
            <w:r>
              <w:rPr>
                <w:rFonts w:hint="default" w:ascii="Times New Roman" w:hAnsi="Times New Roman" w:cs="Times New Roman"/>
              </w:rPr>
              <w:t>GB/T 3183—2025</w:t>
            </w:r>
          </w:p>
        </w:tc>
        <w:tc>
          <w:tcPr>
            <w:tcW w:w="1470" w:type="pct"/>
            <w:noWrap w:val="0"/>
            <w:vAlign w:val="center"/>
          </w:tcPr>
          <w:p w14:paraId="32FFC8AB">
            <w:pPr>
              <w:snapToGrid w:val="0"/>
              <w:spacing w:line="300" w:lineRule="exact"/>
              <w:jc w:val="center"/>
              <w:rPr>
                <w:rFonts w:hint="default" w:ascii="Times New Roman" w:hAnsi="Times New Roman" w:cs="Times New Roman"/>
              </w:rPr>
            </w:pPr>
            <w:r>
              <w:rPr>
                <w:rFonts w:hint="default" w:ascii="Times New Roman" w:hAnsi="Times New Roman" w:cs="Times New Roman"/>
              </w:rPr>
              <w:t>GB/T 45002—2024</w:t>
            </w:r>
          </w:p>
        </w:tc>
      </w:tr>
      <w:tr w14:paraId="0A454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49" w:type="pct"/>
            <w:noWrap w:val="0"/>
            <w:vAlign w:val="center"/>
          </w:tcPr>
          <w:p w14:paraId="3FDD809A">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szCs w:val="21"/>
              </w:rPr>
              <w:t>8</w:t>
            </w:r>
          </w:p>
        </w:tc>
        <w:tc>
          <w:tcPr>
            <w:tcW w:w="1610" w:type="pct"/>
            <w:noWrap w:val="0"/>
            <w:vAlign w:val="center"/>
          </w:tcPr>
          <w:p w14:paraId="5AF752BF">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强度</w:t>
            </w:r>
          </w:p>
        </w:tc>
        <w:tc>
          <w:tcPr>
            <w:tcW w:w="1469" w:type="pct"/>
            <w:noWrap w:val="0"/>
            <w:vAlign w:val="center"/>
          </w:tcPr>
          <w:p w14:paraId="2440239D">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rPr>
              <w:t>GB/T 3183—2025</w:t>
            </w:r>
          </w:p>
        </w:tc>
        <w:tc>
          <w:tcPr>
            <w:tcW w:w="1470" w:type="pct"/>
            <w:noWrap w:val="0"/>
            <w:vAlign w:val="center"/>
          </w:tcPr>
          <w:p w14:paraId="7EE3E49D">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rPr>
              <w:t>GB/T 3183—2025</w:t>
            </w:r>
          </w:p>
          <w:p w14:paraId="41B2A6DB">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GB/T 17671</w:t>
            </w:r>
            <w:r>
              <w:rPr>
                <w:rFonts w:hint="default" w:ascii="Times New Roman" w:hAnsi="Times New Roman" w:cs="Times New Roman"/>
              </w:rPr>
              <w:t>—</w:t>
            </w:r>
            <w:r>
              <w:rPr>
                <w:rFonts w:hint="default" w:ascii="Times New Roman" w:hAnsi="Times New Roman" w:cs="Times New Roman"/>
                <w:color w:val="000000"/>
                <w:szCs w:val="21"/>
              </w:rPr>
              <w:t>2021</w:t>
            </w:r>
          </w:p>
          <w:p w14:paraId="675EF56E">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GB/T 2419</w:t>
            </w:r>
            <w:r>
              <w:rPr>
                <w:rFonts w:hint="default" w:ascii="Times New Roman" w:hAnsi="Times New Roman" w:cs="Times New Roman"/>
              </w:rPr>
              <w:t>—</w:t>
            </w:r>
            <w:r>
              <w:rPr>
                <w:rFonts w:hint="default" w:ascii="Times New Roman" w:hAnsi="Times New Roman" w:cs="Times New Roman"/>
                <w:color w:val="000000"/>
                <w:szCs w:val="21"/>
              </w:rPr>
              <w:t>2005</w:t>
            </w:r>
          </w:p>
        </w:tc>
      </w:tr>
      <w:tr w14:paraId="4EE13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49" w:type="pct"/>
            <w:noWrap w:val="0"/>
            <w:vAlign w:val="center"/>
          </w:tcPr>
          <w:p w14:paraId="6D8717C2">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szCs w:val="21"/>
              </w:rPr>
              <w:t>9</w:t>
            </w:r>
          </w:p>
        </w:tc>
        <w:tc>
          <w:tcPr>
            <w:tcW w:w="1610" w:type="pct"/>
            <w:noWrap w:val="0"/>
            <w:vAlign w:val="center"/>
          </w:tcPr>
          <w:p w14:paraId="1B0C0539">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放射性核素限量</w:t>
            </w:r>
          </w:p>
        </w:tc>
        <w:tc>
          <w:tcPr>
            <w:tcW w:w="1469" w:type="pct"/>
            <w:noWrap w:val="0"/>
            <w:vAlign w:val="center"/>
          </w:tcPr>
          <w:p w14:paraId="70696247">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rPr>
              <w:t>GB/T 3183—2025</w:t>
            </w:r>
          </w:p>
        </w:tc>
        <w:tc>
          <w:tcPr>
            <w:tcW w:w="1470" w:type="pct"/>
            <w:noWrap w:val="0"/>
            <w:vAlign w:val="center"/>
          </w:tcPr>
          <w:p w14:paraId="204F17C6">
            <w:pPr>
              <w:snapToGrid w:val="0"/>
              <w:spacing w:line="300" w:lineRule="exact"/>
              <w:jc w:val="center"/>
              <w:rPr>
                <w:rFonts w:hint="default" w:ascii="Times New Roman" w:hAnsi="Times New Roman" w:cs="Times New Roman"/>
                <w:szCs w:val="21"/>
              </w:rPr>
            </w:pPr>
            <w:r>
              <w:rPr>
                <w:rFonts w:hint="default" w:ascii="Times New Roman" w:hAnsi="Times New Roman" w:cs="Times New Roman"/>
                <w:color w:val="000000"/>
                <w:szCs w:val="21"/>
              </w:rPr>
              <w:fldChar w:fldCharType="begin"/>
            </w:r>
            <w:r>
              <w:rPr>
                <w:rFonts w:hint="default" w:ascii="Times New Roman" w:hAnsi="Times New Roman" w:cs="Times New Roman"/>
                <w:color w:val="000000"/>
                <w:szCs w:val="21"/>
              </w:rPr>
              <w:instrText xml:space="preserve">HYPERLINK "javascript:__doPostBack('ctl00$ctl00$ContentPlaceHolder1$ContentPlaceHolder1$rptStandard$ctl00$lbtnDetail','')" \o "点击查看标准详细信息"</w:instrText>
            </w:r>
            <w:r>
              <w:rPr>
                <w:rFonts w:hint="default" w:ascii="Times New Roman" w:hAnsi="Times New Roman" w:cs="Times New Roman"/>
                <w:color w:val="000000"/>
                <w:szCs w:val="21"/>
              </w:rPr>
              <w:fldChar w:fldCharType="separate"/>
            </w:r>
            <w:r>
              <w:rPr>
                <w:rFonts w:hint="default" w:ascii="Times New Roman" w:hAnsi="Times New Roman" w:cs="Times New Roman"/>
                <w:color w:val="000000"/>
              </w:rPr>
              <w:t>GB 6566</w:t>
            </w:r>
            <w:r>
              <w:rPr>
                <w:rFonts w:hint="default" w:ascii="Times New Roman" w:hAnsi="Times New Roman" w:cs="Times New Roman"/>
                <w:color w:val="000000"/>
                <w:szCs w:val="21"/>
              </w:rPr>
              <w:fldChar w:fldCharType="end"/>
            </w:r>
            <w:r>
              <w:rPr>
                <w:rFonts w:hint="default" w:ascii="Times New Roman" w:hAnsi="Times New Roman" w:cs="Times New Roman"/>
                <w:color w:val="000000"/>
                <w:szCs w:val="21"/>
              </w:rPr>
              <w:t>—2010</w:t>
            </w:r>
          </w:p>
        </w:tc>
      </w:tr>
    </w:tbl>
    <w:p w14:paraId="079ADC8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14:paraId="5A86E44E">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p>
    <w:p w14:paraId="1F1CD165">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1CC12896">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p>
    <w:p w14:paraId="4508790C">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p>
    <w:p w14:paraId="0F127DD9">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GB 175—2023 通用硅酸盐水泥</w:t>
      </w:r>
    </w:p>
    <w:p w14:paraId="41C9769B">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fldChar w:fldCharType="begin"/>
      </w:r>
      <w:r>
        <w:rPr>
          <w:rFonts w:hint="eastAsia" w:ascii="Times New Roman" w:hAnsi="Times New Roman" w:eastAsia="宋体" w:cs="宋体"/>
          <w:sz w:val="22"/>
          <w:szCs w:val="28"/>
        </w:rPr>
        <w:instrText xml:space="preserve">HYPERLINK "javascript:__doPostBack('ctl00$ctl00$ContentPlaceHolder1$ContentPlaceHolder1$rptStandard$ctl00$lbtnDetail','')" \o "点击查看标准详细信息"</w:instrText>
      </w:r>
      <w:r>
        <w:rPr>
          <w:rFonts w:hint="eastAsia" w:ascii="Times New Roman" w:hAnsi="Times New Roman" w:eastAsia="宋体" w:cs="宋体"/>
          <w:sz w:val="22"/>
          <w:szCs w:val="28"/>
        </w:rPr>
        <w:fldChar w:fldCharType="separate"/>
      </w:r>
      <w:r>
        <w:rPr>
          <w:rFonts w:hint="eastAsia" w:ascii="Times New Roman" w:hAnsi="Times New Roman" w:eastAsia="宋体" w:cs="宋体"/>
          <w:sz w:val="22"/>
          <w:szCs w:val="28"/>
        </w:rPr>
        <w:t>GB/T 3183—202</w:t>
      </w:r>
      <w:r>
        <w:rPr>
          <w:rFonts w:hint="eastAsia" w:ascii="Times New Roman" w:hAnsi="Times New Roman" w:eastAsia="宋体" w:cs="宋体"/>
          <w:sz w:val="22"/>
          <w:szCs w:val="28"/>
        </w:rPr>
        <w:fldChar w:fldCharType="end"/>
      </w:r>
      <w:r>
        <w:rPr>
          <w:rFonts w:hint="eastAsia" w:ascii="Times New Roman" w:hAnsi="Times New Roman" w:eastAsia="宋体" w:cs="宋体"/>
          <w:sz w:val="22"/>
          <w:szCs w:val="28"/>
        </w:rPr>
        <w:t>5 砌筑水泥</w:t>
      </w:r>
    </w:p>
    <w:p w14:paraId="7B0D639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14:paraId="5FC76CB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p>
    <w:p w14:paraId="5F7A16E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14:paraId="37D2BE6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706F4FD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44837DEA">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3A8EB75D">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07CF1076">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14:paraId="76A5A8B8">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71AB0DA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p>
    <w:sectPr>
      <w:footerReference r:id="rId3"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81B41">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4B0DA0">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04B0DA0">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326DE"/>
    <w:rsid w:val="02551A35"/>
    <w:rsid w:val="036455F8"/>
    <w:rsid w:val="06E03F13"/>
    <w:rsid w:val="070E6657"/>
    <w:rsid w:val="0CD143AE"/>
    <w:rsid w:val="0D343503"/>
    <w:rsid w:val="13144FF5"/>
    <w:rsid w:val="149E7B87"/>
    <w:rsid w:val="156C55BC"/>
    <w:rsid w:val="17DC7521"/>
    <w:rsid w:val="1BFB5CEA"/>
    <w:rsid w:val="1E7B23CC"/>
    <w:rsid w:val="222A1341"/>
    <w:rsid w:val="22CC78DF"/>
    <w:rsid w:val="29B570DA"/>
    <w:rsid w:val="2B4863B8"/>
    <w:rsid w:val="2B830B12"/>
    <w:rsid w:val="2E5977D4"/>
    <w:rsid w:val="2E8C4181"/>
    <w:rsid w:val="2ED81174"/>
    <w:rsid w:val="33E12879"/>
    <w:rsid w:val="35F506F1"/>
    <w:rsid w:val="38A81BB8"/>
    <w:rsid w:val="408E5B37"/>
    <w:rsid w:val="42C54070"/>
    <w:rsid w:val="43081BD1"/>
    <w:rsid w:val="439E0D9F"/>
    <w:rsid w:val="46050649"/>
    <w:rsid w:val="46F26E20"/>
    <w:rsid w:val="470C0994"/>
    <w:rsid w:val="47181652"/>
    <w:rsid w:val="48404C0F"/>
    <w:rsid w:val="48797678"/>
    <w:rsid w:val="4C6D02BD"/>
    <w:rsid w:val="4E227B86"/>
    <w:rsid w:val="4E3A2F69"/>
    <w:rsid w:val="523C53F3"/>
    <w:rsid w:val="534D3EB1"/>
    <w:rsid w:val="58705DF6"/>
    <w:rsid w:val="58DD2BB5"/>
    <w:rsid w:val="592E4311"/>
    <w:rsid w:val="63B646D2"/>
    <w:rsid w:val="649B4036"/>
    <w:rsid w:val="68932257"/>
    <w:rsid w:val="6E79418D"/>
    <w:rsid w:val="6FD607DD"/>
    <w:rsid w:val="6FF46EB5"/>
    <w:rsid w:val="71BA4C42"/>
    <w:rsid w:val="737C0D9D"/>
    <w:rsid w:val="73C038EC"/>
    <w:rsid w:val="74422159"/>
    <w:rsid w:val="77062301"/>
    <w:rsid w:val="7947444E"/>
    <w:rsid w:val="799A287B"/>
    <w:rsid w:val="7C093CE8"/>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353</Words>
  <Characters>585</Characters>
  <Lines>0</Lines>
  <Paragraphs>0</Paragraphs>
  <TotalTime>3</TotalTime>
  <ScaleCrop>false</ScaleCrop>
  <LinksUpToDate>false</LinksUpToDate>
  <CharactersWithSpaces>611</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zw</cp:lastModifiedBy>
  <dcterms:modified xsi:type="dcterms:W3CDTF">2026-06-17T01:13:24Z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4944B22443E64564BC2F37884E54C647_13</vt:lpwstr>
  </property>
  <property fmtid="{D5CDD505-2E9C-101B-9397-08002B2CF9AE}" pid="4" name="KSOTemplateDocerSaveRecord">
    <vt:lpwstr>eyJoZGlkIjoiYjU4YTEyOWI0YTA1NzExMDUyM2E4NzRjZjM1MmQ2OWEiLCJ1c2VySWQiOiIxMTI2NTcyODI0In0=</vt:lpwstr>
  </property>
</Properties>
</file>